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F3" w:rsidRDefault="00E834F3" w:rsidP="00E834F3">
      <w:pPr>
        <w:pStyle w:val="Normalwebb"/>
        <w:rPr>
          <w:b/>
          <w:bCs/>
        </w:rPr>
      </w:pPr>
      <w:r>
        <w:rPr>
          <w:b/>
          <w:bCs/>
        </w:rPr>
        <w:t>VAD ÄR ATEX direktiven?</w:t>
      </w:r>
    </w:p>
    <w:p w:rsidR="00E834F3" w:rsidRDefault="00E834F3" w:rsidP="00E834F3">
      <w:pPr>
        <w:pStyle w:val="Normalwebb"/>
      </w:pPr>
      <w:r>
        <w:rPr>
          <w:b/>
          <w:bCs/>
        </w:rPr>
        <w:t>ATEX-direktiven</w:t>
      </w:r>
      <w:r>
        <w:t xml:space="preserve"> är två olika </w:t>
      </w:r>
      <w:r w:rsidRPr="00E834F3">
        <w:t>EU</w:t>
      </w:r>
      <w:r>
        <w:t xml:space="preserve">-direktiv som behandlar utrustningar och arbetsmiljö i områden där det finns risk för </w:t>
      </w:r>
      <w:r w:rsidRPr="00E834F3">
        <w:t>explosiv</w:t>
      </w:r>
      <w:r>
        <w:t xml:space="preserve"> atmosfär. </w:t>
      </w:r>
    </w:p>
    <w:p w:rsidR="00E834F3" w:rsidRDefault="00E834F3" w:rsidP="00E834F3">
      <w:pPr>
        <w:pStyle w:val="Normalwebb"/>
      </w:pPr>
      <w:r>
        <w:t xml:space="preserve">Direktiven är </w:t>
      </w:r>
      <w:hyperlink r:id="rId7" w:history="1">
        <w:r>
          <w:rPr>
            <w:rStyle w:val="Hyperlnk"/>
          </w:rPr>
          <w:t>2014/34/EU</w:t>
        </w:r>
      </w:hyperlink>
      <w:r>
        <w:t xml:space="preserve"> angående utrustningar för explosiv atmosfär och </w:t>
      </w:r>
      <w:hyperlink r:id="rId8" w:history="1">
        <w:r>
          <w:rPr>
            <w:rStyle w:val="Hyperlnk"/>
          </w:rPr>
          <w:t>1999/92/EG</w:t>
        </w:r>
      </w:hyperlink>
      <w:r>
        <w:t xml:space="preserve"> angående arbetssäkerhet i sådan miljö. (Direktiv 2014/34/EU ersatte 20 april 2016 det tidigare "ATEX-direktivet" 94/9/EG.) Till båda direktiven finns handböcker (guide</w:t>
      </w:r>
      <w:r>
        <w:t>skrifter</w:t>
      </w:r>
      <w:r>
        <w:t xml:space="preserve">), vilka liksom direktiven är fritt nerladdningsbara från </w:t>
      </w:r>
      <w:hyperlink r:id="rId9" w:history="1">
        <w:r>
          <w:rPr>
            <w:rStyle w:val="Hyperlnk"/>
          </w:rPr>
          <w:t>EUs hemsida för ATEX</w:t>
        </w:r>
      </w:hyperlink>
      <w:r>
        <w:t xml:space="preserve">. Där finner man </w:t>
      </w:r>
      <w:proofErr w:type="spellStart"/>
      <w:r>
        <w:t>bl</w:t>
      </w:r>
      <w:proofErr w:type="spellEnd"/>
      <w:r>
        <w:t xml:space="preserve"> a också uppgifter om hur direktiven är rättsligt införda i de olika ländernas lagsystem samt om med utrustningsdirektivet harmoniserade standarder. </w:t>
      </w:r>
    </w:p>
    <w:p w:rsidR="00E834F3" w:rsidRDefault="00E834F3" w:rsidP="00E834F3">
      <w:pPr>
        <w:pStyle w:val="Normalwebb"/>
      </w:pPr>
      <w:r>
        <w:t xml:space="preserve">ATEX är en förkortning av det franska uttrycket </w:t>
      </w:r>
      <w:proofErr w:type="spellStart"/>
      <w:r>
        <w:rPr>
          <w:b/>
          <w:bCs/>
          <w:i/>
          <w:iCs/>
        </w:rPr>
        <w:t>AT</w:t>
      </w:r>
      <w:r>
        <w:rPr>
          <w:i/>
          <w:iCs/>
        </w:rPr>
        <w:t>mosphères</w:t>
      </w:r>
      <w:proofErr w:type="spellEnd"/>
      <w:r>
        <w:rPr>
          <w:i/>
          <w:iCs/>
        </w:rPr>
        <w:t xml:space="preserve"> </w:t>
      </w:r>
      <w:proofErr w:type="spellStart"/>
      <w:r>
        <w:rPr>
          <w:b/>
          <w:bCs/>
          <w:i/>
          <w:iCs/>
        </w:rPr>
        <w:t>EX</w:t>
      </w:r>
      <w:r>
        <w:rPr>
          <w:i/>
          <w:iCs/>
        </w:rPr>
        <w:t>plosibles</w:t>
      </w:r>
      <w:proofErr w:type="spellEnd"/>
      <w:r>
        <w:t xml:space="preserve"> vilket på svenska betyder explosiv atmosfär och används om EU/EFTA/Schweiz regelverk för explosiv miljö med gas- och/eller </w:t>
      </w:r>
      <w:proofErr w:type="spellStart"/>
      <w:r>
        <w:t>dammatmosfär</w:t>
      </w:r>
      <w:proofErr w:type="spellEnd"/>
      <w:r>
        <w:t xml:space="preserve">. </w:t>
      </w:r>
    </w:p>
    <w:p w:rsidR="00E834F3" w:rsidRDefault="00E834F3" w:rsidP="00E834F3">
      <w:pPr>
        <w:pStyle w:val="Normalwebb"/>
      </w:pPr>
      <w:r>
        <w:t xml:space="preserve">ATEX omfattar ett brett område. Det kan gälla energibolag med fastbränsle, oljebränsle och/eller naturgas, snickerier, jordbruk, lackeringsföretag, pulver- och kemihantering i olika former, bensinstationer, kvarnar, skolor (kemisalar), restauranger som hanterar gasol eller annan brandfarlig gas/vätska, petrokemisk industri och andra känsliga miljöer. </w:t>
      </w:r>
    </w:p>
    <w:p w:rsidR="00E834F3" w:rsidRDefault="00E834F3" w:rsidP="00E834F3">
      <w:pPr>
        <w:pStyle w:val="Normalwebb"/>
      </w:pPr>
      <w:r>
        <w:t xml:space="preserve">Regelverket gäller för alla anläggningar och arbetsplatser, såväl nya som gamla. Däremot gäller utrustningsreglerna inte för utrustning som var satt på marknaden innan regelverket blev tvingande 1 juli 2003. Befintlig säker materiel behöver alltså inte bytas ut, däremot måste den enligt arbetssäkerhetsreglerna hållas i säkert skick. (Utrustningsreglerna är inte retroaktiva, däremot är arbetssäkerhetsreglerna retroaktiva och tillåter inte att utrustning blir farlig t.ex. genom åldring, förslitning och otillräcklig kontroll och underhåll.) </w:t>
      </w:r>
    </w:p>
    <w:p w:rsidR="00E834F3" w:rsidRPr="00E834F3" w:rsidRDefault="00E834F3" w:rsidP="00E834F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834F3">
        <w:rPr>
          <w:rFonts w:ascii="Times New Roman" w:eastAsia="Times New Roman" w:hAnsi="Times New Roman" w:cs="Times New Roman"/>
          <w:b/>
          <w:bCs/>
          <w:sz w:val="36"/>
          <w:szCs w:val="36"/>
          <w:lang w:eastAsia="sv-SE"/>
        </w:rPr>
        <w:t>Tillämpning i Sverige</w:t>
      </w:r>
    </w:p>
    <w:p w:rsidR="00E834F3" w:rsidRPr="00E834F3" w:rsidRDefault="00E834F3" w:rsidP="00E834F3">
      <w:p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I Sverige är reglerna för utrustning i laga kraft genom </w:t>
      </w:r>
    </w:p>
    <w:p w:rsidR="00E834F3" w:rsidRPr="00E834F3" w:rsidRDefault="00E834F3" w:rsidP="00E83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Elsäkerhetsverkets föreskrifter </w:t>
      </w:r>
      <w:hyperlink r:id="rId10" w:history="1">
        <w:r w:rsidRPr="00E834F3">
          <w:rPr>
            <w:rFonts w:ascii="Times New Roman" w:eastAsia="Times New Roman" w:hAnsi="Times New Roman" w:cs="Times New Roman"/>
            <w:color w:val="0000FF"/>
            <w:sz w:val="24"/>
            <w:szCs w:val="24"/>
            <w:u w:val="single"/>
            <w:lang w:eastAsia="sv-SE"/>
          </w:rPr>
          <w:t>ELSÄK-FS 2016:2</w:t>
        </w:r>
      </w:hyperlink>
      <w:r w:rsidRPr="00E834F3">
        <w:rPr>
          <w:rFonts w:ascii="Times New Roman" w:eastAsia="Times New Roman" w:hAnsi="Times New Roman" w:cs="Times New Roman"/>
          <w:sz w:val="24"/>
          <w:szCs w:val="24"/>
          <w:lang w:eastAsia="sv-SE"/>
        </w:rPr>
        <w:t xml:space="preserve"> (för elektrisk utrustning) och</w:t>
      </w:r>
    </w:p>
    <w:p w:rsidR="00E834F3" w:rsidRPr="00E834F3" w:rsidRDefault="00E834F3" w:rsidP="00E834F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Arbetsmiljöverkets föreskrifter </w:t>
      </w:r>
      <w:hyperlink r:id="rId11" w:history="1">
        <w:r w:rsidRPr="00E834F3">
          <w:rPr>
            <w:rFonts w:ascii="Times New Roman" w:eastAsia="Times New Roman" w:hAnsi="Times New Roman" w:cs="Times New Roman"/>
            <w:color w:val="0000FF"/>
            <w:sz w:val="24"/>
            <w:szCs w:val="24"/>
            <w:u w:val="single"/>
            <w:lang w:eastAsia="sv-SE"/>
          </w:rPr>
          <w:t>AFS 2016:4</w:t>
        </w:r>
      </w:hyperlink>
      <w:r w:rsidRPr="00E834F3">
        <w:rPr>
          <w:rFonts w:ascii="Times New Roman" w:eastAsia="Times New Roman" w:hAnsi="Times New Roman" w:cs="Times New Roman"/>
          <w:sz w:val="24"/>
          <w:szCs w:val="24"/>
          <w:lang w:eastAsia="sv-SE"/>
        </w:rPr>
        <w:t xml:space="preserve"> (för icke elektrisk utrustning/mek.).</w:t>
      </w:r>
    </w:p>
    <w:p w:rsidR="00E834F3" w:rsidRPr="00E834F3" w:rsidRDefault="00E834F3" w:rsidP="00E834F3">
      <w:p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All utrustning med "inneboende </w:t>
      </w:r>
      <w:proofErr w:type="spellStart"/>
      <w:r w:rsidRPr="00E834F3">
        <w:rPr>
          <w:rFonts w:ascii="Times New Roman" w:eastAsia="Times New Roman" w:hAnsi="Times New Roman" w:cs="Times New Roman"/>
          <w:sz w:val="24"/>
          <w:szCs w:val="24"/>
          <w:lang w:eastAsia="sv-SE"/>
        </w:rPr>
        <w:t>tändkälla</w:t>
      </w:r>
      <w:proofErr w:type="spellEnd"/>
      <w:r w:rsidRPr="00E834F3">
        <w:rPr>
          <w:rFonts w:ascii="Times New Roman" w:eastAsia="Times New Roman" w:hAnsi="Times New Roman" w:cs="Times New Roman"/>
          <w:sz w:val="24"/>
          <w:szCs w:val="24"/>
          <w:lang w:eastAsia="sv-SE"/>
        </w:rPr>
        <w:t xml:space="preserve">" och avsedd för explosiv atmosfär som sätts på EU-marknaden (tillverkas eller importeras) måste uppfylla direktivet. (Detta gäller även om den inte säljs utan tillverkas och tas i drift av användaren.) </w:t>
      </w:r>
    </w:p>
    <w:p w:rsidR="00E834F3" w:rsidRPr="00E834F3" w:rsidRDefault="00E834F3" w:rsidP="00E834F3">
      <w:p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I Sverige är reglerna om arbetssäkerhet i laga kraft </w:t>
      </w:r>
    </w:p>
    <w:p w:rsidR="00E834F3" w:rsidRPr="00E834F3" w:rsidRDefault="00E834F3" w:rsidP="00E834F3">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för explosiv atmosfär från brandfarlig vara genom Myndigheten för Samhällsskydd och Beredskap*, MSB, föreskrifter </w:t>
      </w:r>
      <w:hyperlink r:id="rId12" w:history="1">
        <w:r w:rsidRPr="00E834F3">
          <w:rPr>
            <w:rFonts w:ascii="Times New Roman" w:eastAsia="Times New Roman" w:hAnsi="Times New Roman" w:cs="Times New Roman"/>
            <w:color w:val="0000FF"/>
            <w:sz w:val="24"/>
            <w:szCs w:val="24"/>
            <w:u w:val="single"/>
            <w:lang w:eastAsia="sv-SE"/>
          </w:rPr>
          <w:t>SRVFS 2004:7</w:t>
        </w:r>
      </w:hyperlink>
      <w:r w:rsidRPr="00E834F3">
        <w:rPr>
          <w:rFonts w:ascii="Times New Roman" w:eastAsia="Times New Roman" w:hAnsi="Times New Roman" w:cs="Times New Roman"/>
          <w:sz w:val="24"/>
          <w:szCs w:val="24"/>
          <w:lang w:eastAsia="sv-SE"/>
        </w:rPr>
        <w:t>* och</w:t>
      </w:r>
    </w:p>
    <w:p w:rsidR="00E834F3" w:rsidRPr="00E834F3" w:rsidRDefault="00E834F3" w:rsidP="00E834F3">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för explosiv atmosfär från icke brandfarlig vara, främst damm, genom Arbetsmiljöverkets föreskrifter </w:t>
      </w:r>
      <w:hyperlink r:id="rId13" w:history="1">
        <w:r w:rsidRPr="00E834F3">
          <w:rPr>
            <w:rFonts w:ascii="Times New Roman" w:eastAsia="Times New Roman" w:hAnsi="Times New Roman" w:cs="Times New Roman"/>
            <w:color w:val="0000FF"/>
            <w:sz w:val="24"/>
            <w:szCs w:val="24"/>
            <w:u w:val="single"/>
            <w:lang w:eastAsia="sv-SE"/>
          </w:rPr>
          <w:t>AFS 2003:3</w:t>
        </w:r>
      </w:hyperlink>
      <w:r w:rsidRPr="00E834F3">
        <w:rPr>
          <w:rFonts w:ascii="Times New Roman" w:eastAsia="Times New Roman" w:hAnsi="Times New Roman" w:cs="Times New Roman"/>
          <w:sz w:val="24"/>
          <w:szCs w:val="24"/>
          <w:lang w:eastAsia="sv-SE"/>
        </w:rPr>
        <w:t>.</w:t>
      </w:r>
    </w:p>
    <w:p w:rsidR="00E834F3" w:rsidRDefault="00E834F3">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type="page"/>
      </w:r>
    </w:p>
    <w:p w:rsidR="00E834F3" w:rsidRPr="00E834F3" w:rsidRDefault="00E834F3" w:rsidP="00E834F3">
      <w:p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lastRenderedPageBreak/>
        <w:t xml:space="preserve">Alla arbetsgivare med arbetsplatser där arbetstagare kan utsättas för fara från explosiv atmosfär måste enligt de tvingande föreskrifterna ha upprättat ett så kallat explosionsskyddsdokument. Det ska innehålla riskanalyser, klassningsplan, förteckning över brandfarliga vätskor, gaser och damm samt rutiner för hur säker hantering vid explosiv atmosfär sker. </w:t>
      </w:r>
    </w:p>
    <w:p w:rsidR="00E834F3" w:rsidRPr="00E834F3" w:rsidRDefault="00E834F3" w:rsidP="00E834F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834F3">
        <w:rPr>
          <w:rFonts w:ascii="Times New Roman" w:eastAsia="Times New Roman" w:hAnsi="Times New Roman" w:cs="Times New Roman"/>
          <w:b/>
          <w:bCs/>
          <w:sz w:val="36"/>
          <w:szCs w:val="36"/>
          <w:lang w:eastAsia="sv-SE"/>
        </w:rPr>
        <w:t xml:space="preserve">Utrustningskategori och skyddsnivå, EPL (Equipment </w:t>
      </w:r>
      <w:proofErr w:type="spellStart"/>
      <w:r w:rsidRPr="00E834F3">
        <w:rPr>
          <w:rFonts w:ascii="Times New Roman" w:eastAsia="Times New Roman" w:hAnsi="Times New Roman" w:cs="Times New Roman"/>
          <w:b/>
          <w:bCs/>
          <w:sz w:val="36"/>
          <w:szCs w:val="36"/>
          <w:lang w:eastAsia="sv-SE"/>
        </w:rPr>
        <w:t>Protection</w:t>
      </w:r>
      <w:proofErr w:type="spellEnd"/>
      <w:r w:rsidRPr="00E834F3">
        <w:rPr>
          <w:rFonts w:ascii="Times New Roman" w:eastAsia="Times New Roman" w:hAnsi="Times New Roman" w:cs="Times New Roman"/>
          <w:b/>
          <w:bCs/>
          <w:sz w:val="36"/>
          <w:szCs w:val="36"/>
          <w:lang w:eastAsia="sv-SE"/>
        </w:rPr>
        <w:t xml:space="preserve"> </w:t>
      </w:r>
      <w:proofErr w:type="spellStart"/>
      <w:r w:rsidRPr="00E834F3">
        <w:rPr>
          <w:rFonts w:ascii="Times New Roman" w:eastAsia="Times New Roman" w:hAnsi="Times New Roman" w:cs="Times New Roman"/>
          <w:b/>
          <w:bCs/>
          <w:sz w:val="36"/>
          <w:szCs w:val="36"/>
          <w:lang w:eastAsia="sv-SE"/>
        </w:rPr>
        <w:t>Level</w:t>
      </w:r>
      <w:proofErr w:type="spellEnd"/>
      <w:r w:rsidRPr="00E834F3">
        <w:rPr>
          <w:rFonts w:ascii="Times New Roman" w:eastAsia="Times New Roman" w:hAnsi="Times New Roman" w:cs="Times New Roman"/>
          <w:b/>
          <w:bCs/>
          <w:sz w:val="36"/>
          <w:szCs w:val="36"/>
          <w:lang w:eastAsia="sv-SE"/>
        </w:rPr>
        <w:t>)</w:t>
      </w:r>
    </w:p>
    <w:p w:rsidR="00E834F3" w:rsidRPr="00E834F3" w:rsidRDefault="00E834F3" w:rsidP="00E834F3">
      <w:p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Genom ATEX-direktiv 94/9/EG infördes 1994 inom EES (dvs inom </w:t>
      </w:r>
      <w:hyperlink r:id="rId14" w:tooltip="Europeiska unionen" w:history="1">
        <w:r w:rsidRPr="00E834F3">
          <w:rPr>
            <w:rFonts w:ascii="Times New Roman" w:eastAsia="Times New Roman" w:hAnsi="Times New Roman" w:cs="Times New Roman"/>
            <w:color w:val="0000FF"/>
            <w:sz w:val="24"/>
            <w:szCs w:val="24"/>
            <w:u w:val="single"/>
            <w:lang w:eastAsia="sv-SE"/>
          </w:rPr>
          <w:t>EU</w:t>
        </w:r>
      </w:hyperlink>
      <w:r w:rsidRPr="00E834F3">
        <w:rPr>
          <w:rFonts w:ascii="Times New Roman" w:eastAsia="Times New Roman" w:hAnsi="Times New Roman" w:cs="Times New Roman"/>
          <w:sz w:val="24"/>
          <w:szCs w:val="24"/>
          <w:lang w:eastAsia="sv-SE"/>
        </w:rPr>
        <w:t xml:space="preserve">, </w:t>
      </w:r>
      <w:hyperlink r:id="rId15" w:tooltip="Europeiska frihandelssammanslutningen" w:history="1">
        <w:r w:rsidRPr="00E834F3">
          <w:rPr>
            <w:rFonts w:ascii="Times New Roman" w:eastAsia="Times New Roman" w:hAnsi="Times New Roman" w:cs="Times New Roman"/>
            <w:color w:val="0000FF"/>
            <w:sz w:val="24"/>
            <w:szCs w:val="24"/>
            <w:u w:val="single"/>
            <w:lang w:eastAsia="sv-SE"/>
          </w:rPr>
          <w:t>EFTA</w:t>
        </w:r>
      </w:hyperlink>
      <w:r w:rsidRPr="00E834F3">
        <w:rPr>
          <w:rFonts w:ascii="Times New Roman" w:eastAsia="Times New Roman" w:hAnsi="Times New Roman" w:cs="Times New Roman"/>
          <w:sz w:val="24"/>
          <w:szCs w:val="24"/>
          <w:lang w:eastAsia="sv-SE"/>
        </w:rPr>
        <w:t xml:space="preserve"> och </w:t>
      </w:r>
      <w:hyperlink r:id="rId16" w:tooltip="Schweiz" w:history="1">
        <w:r w:rsidRPr="00E834F3">
          <w:rPr>
            <w:rFonts w:ascii="Times New Roman" w:eastAsia="Times New Roman" w:hAnsi="Times New Roman" w:cs="Times New Roman"/>
            <w:color w:val="0000FF"/>
            <w:sz w:val="24"/>
            <w:szCs w:val="24"/>
            <w:u w:val="single"/>
            <w:lang w:eastAsia="sv-SE"/>
          </w:rPr>
          <w:t>Schweiz</w:t>
        </w:r>
      </w:hyperlink>
      <w:r w:rsidRPr="00E834F3">
        <w:rPr>
          <w:rFonts w:ascii="Times New Roman" w:eastAsia="Times New Roman" w:hAnsi="Times New Roman" w:cs="Times New Roman"/>
          <w:sz w:val="24"/>
          <w:szCs w:val="24"/>
          <w:lang w:eastAsia="sv-SE"/>
        </w:rPr>
        <w:t xml:space="preserve">) begreppet utrustningskategori med märkning 1, 2 eller 3 för säkerhetsnivå följt av G och/eller D för gas- och/eller </w:t>
      </w:r>
      <w:proofErr w:type="spellStart"/>
      <w:r w:rsidRPr="00E834F3">
        <w:rPr>
          <w:rFonts w:ascii="Times New Roman" w:eastAsia="Times New Roman" w:hAnsi="Times New Roman" w:cs="Times New Roman"/>
          <w:sz w:val="24"/>
          <w:szCs w:val="24"/>
          <w:lang w:eastAsia="sv-SE"/>
        </w:rPr>
        <w:t>dammatmosfär</w:t>
      </w:r>
      <w:proofErr w:type="spellEnd"/>
      <w:r w:rsidRPr="00E834F3">
        <w:rPr>
          <w:rFonts w:ascii="Times New Roman" w:eastAsia="Times New Roman" w:hAnsi="Times New Roman" w:cs="Times New Roman"/>
          <w:sz w:val="24"/>
          <w:szCs w:val="24"/>
          <w:lang w:eastAsia="sv-SE"/>
        </w:rPr>
        <w:t>. I internationell standard infördes genom SS-EN 60079-0:2009</w:t>
      </w:r>
      <w:hyperlink r:id="rId17" w:anchor="cite_note-:0-4" w:history="1">
        <w:r w:rsidRPr="00E834F3">
          <w:rPr>
            <w:rFonts w:ascii="Times New Roman" w:eastAsia="Times New Roman" w:hAnsi="Times New Roman" w:cs="Times New Roman"/>
            <w:color w:val="0000FF"/>
            <w:sz w:val="24"/>
            <w:szCs w:val="24"/>
            <w:u w:val="single"/>
            <w:vertAlign w:val="superscript"/>
            <w:lang w:eastAsia="sv-SE"/>
          </w:rPr>
          <w:t>[2]</w:t>
        </w:r>
      </w:hyperlink>
      <w:r w:rsidRPr="00E834F3">
        <w:rPr>
          <w:rFonts w:ascii="Times New Roman" w:eastAsia="Times New Roman" w:hAnsi="Times New Roman" w:cs="Times New Roman"/>
          <w:sz w:val="24"/>
          <w:szCs w:val="24"/>
          <w:lang w:eastAsia="sv-SE"/>
        </w:rPr>
        <w:t xml:space="preserve"> (IEC 60079-0:2007) begreppet Equipment </w:t>
      </w:r>
      <w:proofErr w:type="spellStart"/>
      <w:r w:rsidRPr="00E834F3">
        <w:rPr>
          <w:rFonts w:ascii="Times New Roman" w:eastAsia="Times New Roman" w:hAnsi="Times New Roman" w:cs="Times New Roman"/>
          <w:sz w:val="24"/>
          <w:szCs w:val="24"/>
          <w:lang w:eastAsia="sv-SE"/>
        </w:rPr>
        <w:t>Protection</w:t>
      </w:r>
      <w:proofErr w:type="spellEnd"/>
      <w:r w:rsidRPr="00E834F3">
        <w:rPr>
          <w:rFonts w:ascii="Times New Roman" w:eastAsia="Times New Roman" w:hAnsi="Times New Roman" w:cs="Times New Roman"/>
          <w:sz w:val="24"/>
          <w:szCs w:val="24"/>
          <w:lang w:eastAsia="sv-SE"/>
        </w:rPr>
        <w:t xml:space="preserve"> </w:t>
      </w:r>
      <w:proofErr w:type="spellStart"/>
      <w:r w:rsidRPr="00E834F3">
        <w:rPr>
          <w:rFonts w:ascii="Times New Roman" w:eastAsia="Times New Roman" w:hAnsi="Times New Roman" w:cs="Times New Roman"/>
          <w:sz w:val="24"/>
          <w:szCs w:val="24"/>
          <w:lang w:eastAsia="sv-SE"/>
        </w:rPr>
        <w:t>Level</w:t>
      </w:r>
      <w:proofErr w:type="spellEnd"/>
      <w:r w:rsidRPr="00E834F3">
        <w:rPr>
          <w:rFonts w:ascii="Times New Roman" w:eastAsia="Times New Roman" w:hAnsi="Times New Roman" w:cs="Times New Roman"/>
          <w:sz w:val="24"/>
          <w:szCs w:val="24"/>
          <w:lang w:eastAsia="sv-SE"/>
        </w:rPr>
        <w:t xml:space="preserve">, EPL, med samma betydelse, men </w:t>
      </w:r>
      <w:proofErr w:type="spellStart"/>
      <w:r w:rsidRPr="00E834F3">
        <w:rPr>
          <w:rFonts w:ascii="Times New Roman" w:eastAsia="Times New Roman" w:hAnsi="Times New Roman" w:cs="Times New Roman"/>
          <w:sz w:val="24"/>
          <w:szCs w:val="24"/>
          <w:lang w:eastAsia="sv-SE"/>
        </w:rPr>
        <w:t>men</w:t>
      </w:r>
      <w:proofErr w:type="spellEnd"/>
      <w:r w:rsidRPr="00E834F3">
        <w:rPr>
          <w:rFonts w:ascii="Times New Roman" w:eastAsia="Times New Roman" w:hAnsi="Times New Roman" w:cs="Times New Roman"/>
          <w:sz w:val="24"/>
          <w:szCs w:val="24"/>
          <w:lang w:eastAsia="sv-SE"/>
        </w:rPr>
        <w:t xml:space="preserve"> märkning G eller D för gas- eller </w:t>
      </w:r>
      <w:proofErr w:type="spellStart"/>
      <w:r w:rsidRPr="00E834F3">
        <w:rPr>
          <w:rFonts w:ascii="Times New Roman" w:eastAsia="Times New Roman" w:hAnsi="Times New Roman" w:cs="Times New Roman"/>
          <w:sz w:val="24"/>
          <w:szCs w:val="24"/>
          <w:lang w:eastAsia="sv-SE"/>
        </w:rPr>
        <w:t>dammatmosfär</w:t>
      </w:r>
      <w:proofErr w:type="spellEnd"/>
      <w:r w:rsidRPr="00E834F3">
        <w:rPr>
          <w:rFonts w:ascii="Times New Roman" w:eastAsia="Times New Roman" w:hAnsi="Times New Roman" w:cs="Times New Roman"/>
          <w:sz w:val="24"/>
          <w:szCs w:val="24"/>
          <w:lang w:eastAsia="sv-SE"/>
        </w:rPr>
        <w:t xml:space="preserve"> följt av bokstaven a, b eller c. För utrustning avsedd för både gas- och </w:t>
      </w:r>
      <w:proofErr w:type="spellStart"/>
      <w:r w:rsidRPr="00E834F3">
        <w:rPr>
          <w:rFonts w:ascii="Times New Roman" w:eastAsia="Times New Roman" w:hAnsi="Times New Roman" w:cs="Times New Roman"/>
          <w:sz w:val="24"/>
          <w:szCs w:val="24"/>
          <w:lang w:eastAsia="sv-SE"/>
        </w:rPr>
        <w:t>dammatmosfär</w:t>
      </w:r>
      <w:proofErr w:type="spellEnd"/>
      <w:r w:rsidRPr="00E834F3">
        <w:rPr>
          <w:rFonts w:ascii="Times New Roman" w:eastAsia="Times New Roman" w:hAnsi="Times New Roman" w:cs="Times New Roman"/>
          <w:sz w:val="24"/>
          <w:szCs w:val="24"/>
          <w:lang w:eastAsia="sv-SE"/>
        </w:rPr>
        <w:t xml:space="preserve"> görs märkningen för gas- respektive </w:t>
      </w:r>
      <w:proofErr w:type="spellStart"/>
      <w:r w:rsidRPr="00E834F3">
        <w:rPr>
          <w:rFonts w:ascii="Times New Roman" w:eastAsia="Times New Roman" w:hAnsi="Times New Roman" w:cs="Times New Roman"/>
          <w:sz w:val="24"/>
          <w:szCs w:val="24"/>
          <w:lang w:eastAsia="sv-SE"/>
        </w:rPr>
        <w:t>dammatmosfär</w:t>
      </w:r>
      <w:proofErr w:type="spellEnd"/>
      <w:r w:rsidRPr="00E834F3">
        <w:rPr>
          <w:rFonts w:ascii="Times New Roman" w:eastAsia="Times New Roman" w:hAnsi="Times New Roman" w:cs="Times New Roman"/>
          <w:sz w:val="24"/>
          <w:szCs w:val="24"/>
          <w:lang w:eastAsia="sv-SE"/>
        </w:rPr>
        <w:t xml:space="preserve"> på skilda rader. En komplett märkning inom EES omfattar både märkning enligt ATEX-direktivet och enligt eventuellt använd Ex-standard. </w:t>
      </w:r>
    </w:p>
    <w:p w:rsidR="00E834F3" w:rsidRPr="00E834F3" w:rsidRDefault="00E834F3" w:rsidP="00E834F3">
      <w:p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Utrustning av kategori 3 (EPL _c) ska ge säkerhet mot explosion i normal drift, kategori 2 (EPL _b) ska ge säkerhet i normal drift och vid ett fel (inklusive alla därav följande följdfel), kategori 1 (EPL _a) ska ge säkerhet i normal drift och vid två av varandra oberoende fel (inklusive alla därav följande följdfel).</w:t>
      </w:r>
      <w:hyperlink r:id="rId18" w:anchor="cite_note-:0-4" w:history="1">
        <w:r w:rsidRPr="00E834F3">
          <w:rPr>
            <w:rFonts w:ascii="Times New Roman" w:eastAsia="Times New Roman" w:hAnsi="Times New Roman" w:cs="Times New Roman"/>
            <w:color w:val="0000FF"/>
            <w:sz w:val="24"/>
            <w:szCs w:val="24"/>
            <w:u w:val="single"/>
            <w:vertAlign w:val="superscript"/>
            <w:lang w:eastAsia="sv-SE"/>
          </w:rPr>
          <w:t>[2]</w:t>
        </w:r>
      </w:hyperlink>
      <w:r w:rsidRPr="00E834F3">
        <w:rPr>
          <w:rFonts w:ascii="Times New Roman" w:eastAsia="Times New Roman" w:hAnsi="Times New Roman" w:cs="Times New Roman"/>
          <w:sz w:val="24"/>
          <w:szCs w:val="24"/>
          <w:lang w:eastAsia="sv-SE"/>
        </w:rPr>
        <w:t xml:space="preserve"> </w:t>
      </w:r>
    </w:p>
    <w:p w:rsidR="00E834F3" w:rsidRPr="00E834F3" w:rsidRDefault="00E834F3" w:rsidP="00E834F3">
      <w:pPr>
        <w:spacing w:before="100" w:beforeAutospacing="1" w:after="100" w:afterAutospacing="1"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De tre skyddsnivåerna är anpassade för de tre risknivåer som områden, där explosiv atmosfär förväntas kunna förekomma, indelas i zon efter.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6"/>
        <w:gridCol w:w="862"/>
        <w:gridCol w:w="1145"/>
        <w:gridCol w:w="948"/>
        <w:gridCol w:w="1261"/>
        <w:gridCol w:w="854"/>
        <w:gridCol w:w="1134"/>
        <w:gridCol w:w="1272"/>
      </w:tblGrid>
      <w:tr w:rsidR="00E834F3" w:rsidRPr="00E834F3" w:rsidTr="00E834F3">
        <w:trPr>
          <w:tblCellSpacing w:w="15" w:type="dxa"/>
        </w:trPr>
        <w:tc>
          <w:tcPr>
            <w:tcW w:w="0" w:type="auto"/>
            <w:gridSpan w:val="3"/>
            <w:vAlign w:val="center"/>
            <w:hideMark/>
          </w:tcPr>
          <w:p w:rsidR="00E834F3" w:rsidRPr="00E834F3" w:rsidRDefault="00E834F3" w:rsidP="00E834F3">
            <w:pPr>
              <w:spacing w:after="0"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Indelning av riskområden med Ex-atmosfär </w:t>
            </w:r>
          </w:p>
        </w:tc>
        <w:tc>
          <w:tcPr>
            <w:tcW w:w="0" w:type="auto"/>
            <w:gridSpan w:val="5"/>
            <w:vAlign w:val="center"/>
            <w:hideMark/>
          </w:tcPr>
          <w:p w:rsidR="00E834F3" w:rsidRPr="00E834F3" w:rsidRDefault="00E834F3" w:rsidP="00E834F3">
            <w:pPr>
              <w:spacing w:after="0"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Indelning av utrustning för Ex-atmosfär </w:t>
            </w:r>
          </w:p>
        </w:tc>
      </w:tr>
      <w:tr w:rsidR="00E834F3" w:rsidRPr="00E834F3" w:rsidTr="00E834F3">
        <w:trPr>
          <w:tblCellSpacing w:w="15" w:type="dxa"/>
        </w:trPr>
        <w:tc>
          <w:tcPr>
            <w:tcW w:w="0" w:type="auto"/>
            <w:vMerge w:val="restart"/>
            <w:vAlign w:val="center"/>
            <w:hideMark/>
          </w:tcPr>
          <w:p w:rsidR="00E834F3" w:rsidRPr="00E834F3" w:rsidRDefault="00E834F3" w:rsidP="00E834F3">
            <w:pPr>
              <w:spacing w:after="0"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Explosiv atmosfär </w:t>
            </w:r>
          </w:p>
          <w:p w:rsidR="00E834F3" w:rsidRPr="00E834F3" w:rsidRDefault="00E834F3" w:rsidP="00E834F3">
            <w:pPr>
              <w:spacing w:before="100" w:beforeAutospacing="1" w:after="100" w:afterAutospacing="1"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väntas förekomma </w:t>
            </w:r>
          </w:p>
        </w:tc>
        <w:tc>
          <w:tcPr>
            <w:tcW w:w="0" w:type="auto"/>
            <w:gridSpan w:val="2"/>
            <w:vAlign w:val="center"/>
            <w:hideMark/>
          </w:tcPr>
          <w:p w:rsidR="00E834F3" w:rsidRPr="00E834F3" w:rsidRDefault="00E834F3" w:rsidP="00E834F3">
            <w:pPr>
              <w:spacing w:after="0"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Riskområde zon </w:t>
            </w:r>
          </w:p>
        </w:tc>
        <w:tc>
          <w:tcPr>
            <w:tcW w:w="0" w:type="auto"/>
            <w:gridSpan w:val="2"/>
            <w:vAlign w:val="center"/>
            <w:hideMark/>
          </w:tcPr>
          <w:p w:rsidR="00E834F3" w:rsidRPr="00E834F3" w:rsidRDefault="00E834F3" w:rsidP="00E834F3">
            <w:pPr>
              <w:spacing w:after="0"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Utrustningskategori </w:t>
            </w:r>
          </w:p>
          <w:p w:rsidR="00E834F3" w:rsidRPr="00E834F3" w:rsidRDefault="00E834F3" w:rsidP="00E834F3">
            <w:pPr>
              <w:spacing w:before="100" w:beforeAutospacing="1" w:after="100" w:afterAutospacing="1"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0"/>
                <w:szCs w:val="20"/>
                <w:lang w:eastAsia="sv-SE"/>
              </w:rPr>
              <w:t>(enligt direktiv 2014/34/EU)</w:t>
            </w:r>
            <w:r w:rsidRPr="00E834F3">
              <w:rPr>
                <w:rFonts w:ascii="Times New Roman" w:eastAsia="Times New Roman" w:hAnsi="Times New Roman" w:cs="Times New Roman"/>
                <w:b/>
                <w:bCs/>
                <w:sz w:val="24"/>
                <w:szCs w:val="24"/>
                <w:lang w:eastAsia="sv-SE"/>
              </w:rPr>
              <w:t xml:space="preserve"> </w:t>
            </w:r>
          </w:p>
        </w:tc>
        <w:tc>
          <w:tcPr>
            <w:tcW w:w="0" w:type="auto"/>
            <w:gridSpan w:val="2"/>
            <w:vAlign w:val="center"/>
            <w:hideMark/>
          </w:tcPr>
          <w:p w:rsidR="00E834F3" w:rsidRPr="00E834F3" w:rsidRDefault="00E834F3" w:rsidP="00E834F3">
            <w:pPr>
              <w:spacing w:after="0"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EPL </w:t>
            </w:r>
          </w:p>
          <w:p w:rsidR="00E834F3" w:rsidRPr="00E834F3" w:rsidRDefault="00E834F3" w:rsidP="00E834F3">
            <w:pPr>
              <w:spacing w:before="100" w:beforeAutospacing="1" w:after="100" w:afterAutospacing="1"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0"/>
                <w:szCs w:val="20"/>
                <w:lang w:eastAsia="sv-SE"/>
              </w:rPr>
              <w:t>(enligt standard)</w:t>
            </w:r>
            <w:r w:rsidRPr="00E834F3">
              <w:rPr>
                <w:rFonts w:ascii="Times New Roman" w:eastAsia="Times New Roman" w:hAnsi="Times New Roman" w:cs="Times New Roman"/>
                <w:b/>
                <w:bCs/>
                <w:sz w:val="24"/>
                <w:szCs w:val="24"/>
                <w:lang w:eastAsia="sv-SE"/>
              </w:rPr>
              <w:t xml:space="preserve"> </w:t>
            </w:r>
          </w:p>
        </w:tc>
        <w:tc>
          <w:tcPr>
            <w:tcW w:w="0" w:type="auto"/>
            <w:vMerge w:val="restart"/>
            <w:vAlign w:val="center"/>
            <w:hideMark/>
          </w:tcPr>
          <w:p w:rsidR="00E834F3" w:rsidRPr="00E834F3" w:rsidRDefault="00E834F3" w:rsidP="00E834F3">
            <w:pPr>
              <w:spacing w:after="0"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Orsakar inte </w:t>
            </w:r>
          </w:p>
          <w:p w:rsidR="00E834F3" w:rsidRPr="00E834F3" w:rsidRDefault="00E834F3" w:rsidP="00E834F3">
            <w:pPr>
              <w:spacing w:before="100" w:beforeAutospacing="1" w:after="100" w:afterAutospacing="1" w:line="240" w:lineRule="auto"/>
              <w:jc w:val="center"/>
              <w:rPr>
                <w:rFonts w:ascii="Times New Roman" w:eastAsia="Times New Roman" w:hAnsi="Times New Roman" w:cs="Times New Roman"/>
                <w:b/>
                <w:bCs/>
                <w:sz w:val="24"/>
                <w:szCs w:val="24"/>
                <w:lang w:eastAsia="sv-SE"/>
              </w:rPr>
            </w:pPr>
            <w:r w:rsidRPr="00E834F3">
              <w:rPr>
                <w:rFonts w:ascii="Times New Roman" w:eastAsia="Times New Roman" w:hAnsi="Times New Roman" w:cs="Times New Roman"/>
                <w:b/>
                <w:bCs/>
                <w:sz w:val="24"/>
                <w:szCs w:val="24"/>
                <w:lang w:eastAsia="sv-SE"/>
              </w:rPr>
              <w:t xml:space="preserve">explosion vid </w:t>
            </w:r>
          </w:p>
        </w:tc>
      </w:tr>
      <w:tr w:rsidR="00E834F3" w:rsidRPr="00E834F3" w:rsidTr="00E834F3">
        <w:trPr>
          <w:tblCellSpacing w:w="15" w:type="dxa"/>
        </w:trPr>
        <w:tc>
          <w:tcPr>
            <w:tcW w:w="0" w:type="auto"/>
            <w:vMerge/>
            <w:vAlign w:val="center"/>
            <w:hideMark/>
          </w:tcPr>
          <w:p w:rsidR="00E834F3" w:rsidRPr="00E834F3" w:rsidRDefault="00E834F3" w:rsidP="00E834F3">
            <w:pPr>
              <w:spacing w:after="0" w:line="240" w:lineRule="auto"/>
              <w:rPr>
                <w:rFonts w:ascii="Times New Roman" w:eastAsia="Times New Roman" w:hAnsi="Times New Roman" w:cs="Times New Roman"/>
                <w:b/>
                <w:bCs/>
                <w:sz w:val="24"/>
                <w:szCs w:val="24"/>
                <w:lang w:eastAsia="sv-SE"/>
              </w:rPr>
            </w:pP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Gasatm</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Dammatm</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Gasatm</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Dammatm</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Gasatm</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Dammatm</w:t>
            </w:r>
            <w:proofErr w:type="spellEnd"/>
            <w:r w:rsidRPr="00E834F3">
              <w:rPr>
                <w:rFonts w:ascii="Times New Roman" w:eastAsia="Times New Roman" w:hAnsi="Times New Roman" w:cs="Times New Roman"/>
                <w:sz w:val="24"/>
                <w:szCs w:val="24"/>
                <w:lang w:eastAsia="sv-SE"/>
              </w:rPr>
              <w:t xml:space="preserve">. </w:t>
            </w:r>
          </w:p>
        </w:tc>
        <w:tc>
          <w:tcPr>
            <w:tcW w:w="0" w:type="auto"/>
            <w:vMerge/>
            <w:vAlign w:val="center"/>
            <w:hideMark/>
          </w:tcPr>
          <w:p w:rsidR="00E834F3" w:rsidRPr="00E834F3" w:rsidRDefault="00E834F3" w:rsidP="00E834F3">
            <w:pPr>
              <w:spacing w:after="0" w:line="240" w:lineRule="auto"/>
              <w:rPr>
                <w:rFonts w:ascii="Times New Roman" w:eastAsia="Times New Roman" w:hAnsi="Times New Roman" w:cs="Times New Roman"/>
                <w:b/>
                <w:bCs/>
                <w:sz w:val="24"/>
                <w:szCs w:val="24"/>
                <w:lang w:eastAsia="sv-SE"/>
              </w:rPr>
            </w:pPr>
          </w:p>
        </w:tc>
      </w:tr>
      <w:tr w:rsidR="00E834F3" w:rsidRPr="00E834F3" w:rsidTr="00E834F3">
        <w:trPr>
          <w:tblCellSpacing w:w="15" w:type="dxa"/>
        </w:trPr>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Ständigt, ofta eller länge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Zon 0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Zon 20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1G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1D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Ga</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Da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Två oberoende fel </w:t>
            </w:r>
          </w:p>
        </w:tc>
      </w:tr>
      <w:tr w:rsidR="00E834F3" w:rsidRPr="00E834F3" w:rsidTr="00E834F3">
        <w:trPr>
          <w:tblCellSpacing w:w="15" w:type="dxa"/>
        </w:trPr>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Tillfälligt i normal drift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Zon 1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Zon 21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2G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2D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Gb</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Db</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Ett fel </w:t>
            </w:r>
          </w:p>
        </w:tc>
      </w:tr>
      <w:tr w:rsidR="00E834F3" w:rsidRPr="00E834F3" w:rsidTr="00E834F3">
        <w:trPr>
          <w:tblCellSpacing w:w="15" w:type="dxa"/>
        </w:trPr>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Sällan och kortvarigt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Zon 2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Zon 22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3G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3D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Gc</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proofErr w:type="spellStart"/>
            <w:r w:rsidRPr="00E834F3">
              <w:rPr>
                <w:rFonts w:ascii="Times New Roman" w:eastAsia="Times New Roman" w:hAnsi="Times New Roman" w:cs="Times New Roman"/>
                <w:sz w:val="24"/>
                <w:szCs w:val="24"/>
                <w:lang w:eastAsia="sv-SE"/>
              </w:rPr>
              <w:t>Dc</w:t>
            </w:r>
            <w:proofErr w:type="spellEnd"/>
            <w:r w:rsidRPr="00E834F3">
              <w:rPr>
                <w:rFonts w:ascii="Times New Roman" w:eastAsia="Times New Roman" w:hAnsi="Times New Roman" w:cs="Times New Roman"/>
                <w:sz w:val="24"/>
                <w:szCs w:val="24"/>
                <w:lang w:eastAsia="sv-SE"/>
              </w:rPr>
              <w:t xml:space="preserve"> </w:t>
            </w:r>
          </w:p>
        </w:tc>
        <w:tc>
          <w:tcPr>
            <w:tcW w:w="0" w:type="auto"/>
            <w:vAlign w:val="center"/>
            <w:hideMark/>
          </w:tcPr>
          <w:p w:rsidR="00E834F3" w:rsidRPr="00E834F3" w:rsidRDefault="00E834F3" w:rsidP="00E834F3">
            <w:pPr>
              <w:spacing w:after="0" w:line="240" w:lineRule="auto"/>
              <w:rPr>
                <w:rFonts w:ascii="Times New Roman" w:eastAsia="Times New Roman" w:hAnsi="Times New Roman" w:cs="Times New Roman"/>
                <w:sz w:val="24"/>
                <w:szCs w:val="24"/>
                <w:lang w:eastAsia="sv-SE"/>
              </w:rPr>
            </w:pPr>
            <w:r w:rsidRPr="00E834F3">
              <w:rPr>
                <w:rFonts w:ascii="Times New Roman" w:eastAsia="Times New Roman" w:hAnsi="Times New Roman" w:cs="Times New Roman"/>
                <w:sz w:val="24"/>
                <w:szCs w:val="24"/>
                <w:lang w:eastAsia="sv-SE"/>
              </w:rPr>
              <w:t xml:space="preserve">Normal drift </w:t>
            </w:r>
          </w:p>
        </w:tc>
      </w:tr>
    </w:tbl>
    <w:p w:rsidR="006C2119" w:rsidRDefault="00FB3957">
      <w:bookmarkStart w:id="0" w:name="_GoBack"/>
      <w:bookmarkEnd w:id="0"/>
    </w:p>
    <w:p w:rsidR="00E834F3" w:rsidRDefault="00E834F3">
      <w:r>
        <w:t xml:space="preserve">KÄLLA: </w:t>
      </w:r>
      <w:r w:rsidRPr="00E834F3">
        <w:t>https://sv.wikipedia.org/wiki/ATEX-direktiven</w:t>
      </w:r>
    </w:p>
    <w:sectPr w:rsidR="00E834F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57" w:rsidRDefault="00FB3957" w:rsidP="00E834F3">
      <w:pPr>
        <w:spacing w:after="0" w:line="240" w:lineRule="auto"/>
      </w:pPr>
      <w:r>
        <w:separator/>
      </w:r>
    </w:p>
  </w:endnote>
  <w:endnote w:type="continuationSeparator" w:id="0">
    <w:p w:rsidR="00FB3957" w:rsidRDefault="00FB3957" w:rsidP="00E8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F3" w:rsidRDefault="00E834F3" w:rsidP="00E834F3">
    <w:pPr>
      <w:pStyle w:val="Sidfot"/>
      <w:tabs>
        <w:tab w:val="clear" w:pos="4536"/>
        <w:tab w:val="clear" w:pos="9072"/>
        <w:tab w:val="left" w:pos="5415"/>
      </w:tabs>
    </w:pPr>
    <w:r>
      <w:tab/>
    </w:r>
    <w:hyperlink r:id="rId1" w:history="1">
      <w:r w:rsidRPr="00B62C86">
        <w:rPr>
          <w:rStyle w:val="Hyperlnk"/>
        </w:rPr>
        <w:t>www.boxco.se</w:t>
      </w:r>
    </w:hyperlink>
    <w:r>
      <w:t xml:space="preserve"> – 08 580 210 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57" w:rsidRDefault="00FB3957" w:rsidP="00E834F3">
      <w:pPr>
        <w:spacing w:after="0" w:line="240" w:lineRule="auto"/>
      </w:pPr>
      <w:r>
        <w:separator/>
      </w:r>
    </w:p>
  </w:footnote>
  <w:footnote w:type="continuationSeparator" w:id="0">
    <w:p w:rsidR="00FB3957" w:rsidRDefault="00FB3957" w:rsidP="00E8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F3" w:rsidRDefault="00E834F3" w:rsidP="00E834F3">
    <w:pPr>
      <w:pStyle w:val="Sidhuvud"/>
      <w:jc w:val="right"/>
    </w:pPr>
    <w:r>
      <w:rPr>
        <w:noProof/>
        <w:lang w:eastAsia="sv-SE"/>
      </w:rPr>
      <w:drawing>
        <wp:inline distT="0" distB="0" distL="0" distR="0">
          <wp:extent cx="1133475" cy="45792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XCOlogo2015RGBlagupplost.jpg"/>
                  <pic:cNvPicPr/>
                </pic:nvPicPr>
                <pic:blipFill>
                  <a:blip r:embed="rId1">
                    <a:extLst>
                      <a:ext uri="{28A0092B-C50C-407E-A947-70E740481C1C}">
                        <a14:useLocalDpi xmlns:a14="http://schemas.microsoft.com/office/drawing/2010/main" val="0"/>
                      </a:ext>
                    </a:extLst>
                  </a:blip>
                  <a:stretch>
                    <a:fillRect/>
                  </a:stretch>
                </pic:blipFill>
                <pic:spPr>
                  <a:xfrm>
                    <a:off x="0" y="0"/>
                    <a:ext cx="1143744" cy="462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0C1"/>
    <w:multiLevelType w:val="multilevel"/>
    <w:tmpl w:val="EAE4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63F40"/>
    <w:multiLevelType w:val="multilevel"/>
    <w:tmpl w:val="8D58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26D41"/>
    <w:multiLevelType w:val="multilevel"/>
    <w:tmpl w:val="4E0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F3"/>
    <w:rsid w:val="008D77F0"/>
    <w:rsid w:val="00E834F3"/>
    <w:rsid w:val="00FB3957"/>
    <w:rsid w:val="00FB7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47F6"/>
  <w15:chartTrackingRefBased/>
  <w15:docId w15:val="{F99EC450-1299-41D4-A4F3-9CD35ABE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834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834F3"/>
    <w:rPr>
      <w:color w:val="0000FF"/>
      <w:u w:val="single"/>
    </w:rPr>
  </w:style>
  <w:style w:type="paragraph" w:styleId="Sidhuvud">
    <w:name w:val="header"/>
    <w:basedOn w:val="Normal"/>
    <w:link w:val="SidhuvudChar"/>
    <w:uiPriority w:val="99"/>
    <w:unhideWhenUsed/>
    <w:rsid w:val="00E834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34F3"/>
  </w:style>
  <w:style w:type="paragraph" w:styleId="Sidfot">
    <w:name w:val="footer"/>
    <w:basedOn w:val="Normal"/>
    <w:link w:val="SidfotChar"/>
    <w:uiPriority w:val="99"/>
    <w:unhideWhenUsed/>
    <w:rsid w:val="00E834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9714">
      <w:bodyDiv w:val="1"/>
      <w:marLeft w:val="0"/>
      <w:marRight w:val="0"/>
      <w:marTop w:val="0"/>
      <w:marBottom w:val="0"/>
      <w:divBdr>
        <w:top w:val="none" w:sz="0" w:space="0" w:color="auto"/>
        <w:left w:val="none" w:sz="0" w:space="0" w:color="auto"/>
        <w:bottom w:val="none" w:sz="0" w:space="0" w:color="auto"/>
        <w:right w:val="none" w:sz="0" w:space="0" w:color="auto"/>
      </w:divBdr>
    </w:div>
    <w:div w:id="17187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ectors/mechanical-engineering/atex/" TargetMode="External"/><Relationship Id="rId13" Type="http://schemas.openxmlformats.org/officeDocument/2006/relationships/hyperlink" Target="https://www.av.se/arbetsmiljoarbete-och-inspektioner/publikationer/foreskrifter/arbete-i-explosionsfarlig-miljo-afs-20033-foreskrifter/" TargetMode="External"/><Relationship Id="rId18" Type="http://schemas.openxmlformats.org/officeDocument/2006/relationships/hyperlink" Target="https://sv.wikipedia.org/wiki/ATEX-direktiv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c.europa.eu/growth/sectors/mechanical-engineering/atex/" TargetMode="External"/><Relationship Id="rId12" Type="http://schemas.openxmlformats.org/officeDocument/2006/relationships/hyperlink" Target="https://www.msb.se/sv/Om-MSB/Lag-och-ratt/Gallande-regler/Brandfarliga-och-explosiva-varor/SRVFS-20047/" TargetMode="External"/><Relationship Id="rId17" Type="http://schemas.openxmlformats.org/officeDocument/2006/relationships/hyperlink" Target="https://sv.wikipedia.org/wiki/ATEX-direktiven" TargetMode="External"/><Relationship Id="rId2" Type="http://schemas.openxmlformats.org/officeDocument/2006/relationships/styles" Target="styles.xml"/><Relationship Id="rId16" Type="http://schemas.openxmlformats.org/officeDocument/2006/relationships/hyperlink" Target="https://sv.wikipedia.org/wiki/Schwei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se/globalassets/filer/publikationer/foreskrifter/utrustning-for-potentiellt-explosiva-atmosfarer-foreskrifter-afs2016-4.pdf" TargetMode="External"/><Relationship Id="rId5" Type="http://schemas.openxmlformats.org/officeDocument/2006/relationships/footnotes" Target="footnotes.xml"/><Relationship Id="rId15" Type="http://schemas.openxmlformats.org/officeDocument/2006/relationships/hyperlink" Target="https://sv.wikipedia.org/wiki/Europeiska_frihandelssammanslutningen" TargetMode="External"/><Relationship Id="rId10" Type="http://schemas.openxmlformats.org/officeDocument/2006/relationships/hyperlink" Target="https://www.elsakerhetsverket.se/om-oss/lag-och-ratt/foreskrifter/elsak-fs-2016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growth/sectors/mechanical-engineering/atex/" TargetMode="External"/><Relationship Id="rId14" Type="http://schemas.openxmlformats.org/officeDocument/2006/relationships/hyperlink" Target="https://sv.wikipedia.org/wiki/Europeiska_union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xc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940</Words>
  <Characters>4984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AccesIT</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Jäder</dc:creator>
  <cp:keywords/>
  <dc:description/>
  <cp:lastModifiedBy>Magnus Jäder</cp:lastModifiedBy>
  <cp:revision>1</cp:revision>
  <dcterms:created xsi:type="dcterms:W3CDTF">2019-02-04T08:52:00Z</dcterms:created>
  <dcterms:modified xsi:type="dcterms:W3CDTF">2019-02-04T09:00:00Z</dcterms:modified>
</cp:coreProperties>
</file>